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41" w:type="dxa"/>
        <w:jc w:val="center"/>
        <w:tblLook w:val="04A0" w:firstRow="1" w:lastRow="0" w:firstColumn="1" w:lastColumn="0" w:noHBand="0" w:noVBand="1"/>
      </w:tblPr>
      <w:tblGrid>
        <w:gridCol w:w="1575"/>
        <w:gridCol w:w="2879"/>
        <w:gridCol w:w="4208"/>
        <w:gridCol w:w="3499"/>
        <w:gridCol w:w="2880"/>
      </w:tblGrid>
      <w:tr w:rsidR="00C17C5E" w:rsidRPr="00C17C5E" w14:paraId="6358A53F" w14:textId="77777777" w:rsidTr="0053730E">
        <w:trPr>
          <w:jc w:val="center"/>
        </w:trPr>
        <w:tc>
          <w:tcPr>
            <w:tcW w:w="1575" w:type="dxa"/>
            <w:vAlign w:val="center"/>
          </w:tcPr>
          <w:p w14:paraId="484B1625" w14:textId="77777777" w:rsidR="00C17C5E" w:rsidRPr="00C17C5E" w:rsidRDefault="00C17C5E" w:rsidP="00FC27D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79" w:type="dxa"/>
            <w:vAlign w:val="center"/>
          </w:tcPr>
          <w:p w14:paraId="039D59B2" w14:textId="77777777" w:rsidR="00C17C5E" w:rsidRPr="00C17C5E" w:rsidRDefault="00C17C5E" w:rsidP="00FC27D9">
            <w:pPr>
              <w:jc w:val="center"/>
              <w:rPr>
                <w:rFonts w:cstheme="minorHAnsi"/>
                <w:b/>
                <w:bCs/>
              </w:rPr>
            </w:pPr>
            <w:r w:rsidRPr="00C17C5E">
              <w:rPr>
                <w:rFonts w:cstheme="minorHAnsi"/>
                <w:b/>
                <w:bCs/>
              </w:rPr>
              <w:t>4% LIHTC Deal</w:t>
            </w:r>
          </w:p>
        </w:tc>
        <w:tc>
          <w:tcPr>
            <w:tcW w:w="4208" w:type="dxa"/>
            <w:vAlign w:val="center"/>
          </w:tcPr>
          <w:p w14:paraId="4686A362" w14:textId="77777777" w:rsidR="00C17C5E" w:rsidRPr="00C17C5E" w:rsidRDefault="00C17C5E" w:rsidP="00FC27D9">
            <w:pPr>
              <w:jc w:val="center"/>
              <w:rPr>
                <w:rFonts w:cstheme="minorHAnsi"/>
                <w:b/>
                <w:bCs/>
              </w:rPr>
            </w:pPr>
            <w:r w:rsidRPr="00C17C5E">
              <w:rPr>
                <w:rFonts w:cstheme="minorHAnsi"/>
                <w:b/>
                <w:bCs/>
              </w:rPr>
              <w:t>501(c)(3)</w:t>
            </w:r>
          </w:p>
        </w:tc>
        <w:tc>
          <w:tcPr>
            <w:tcW w:w="3499" w:type="dxa"/>
            <w:vAlign w:val="center"/>
          </w:tcPr>
          <w:p w14:paraId="3636B667" w14:textId="77777777" w:rsidR="00C17C5E" w:rsidRPr="00C17C5E" w:rsidRDefault="00C17C5E" w:rsidP="00FC27D9">
            <w:pPr>
              <w:jc w:val="center"/>
              <w:rPr>
                <w:rFonts w:cstheme="minorHAnsi"/>
                <w:b/>
                <w:bCs/>
              </w:rPr>
            </w:pPr>
            <w:r w:rsidRPr="00C17C5E">
              <w:rPr>
                <w:rFonts w:cstheme="minorHAnsi"/>
                <w:b/>
                <w:bCs/>
              </w:rPr>
              <w:t>Workforce/Essential Housing</w:t>
            </w:r>
          </w:p>
        </w:tc>
        <w:tc>
          <w:tcPr>
            <w:tcW w:w="2880" w:type="dxa"/>
            <w:vAlign w:val="center"/>
          </w:tcPr>
          <w:p w14:paraId="6C00520D" w14:textId="77777777" w:rsidR="00C17C5E" w:rsidRPr="00C17C5E" w:rsidRDefault="00C17C5E" w:rsidP="00FC27D9">
            <w:pPr>
              <w:jc w:val="center"/>
              <w:rPr>
                <w:rFonts w:cstheme="minorHAnsi"/>
                <w:b/>
                <w:bCs/>
              </w:rPr>
            </w:pPr>
            <w:r w:rsidRPr="00C17C5E">
              <w:rPr>
                <w:rFonts w:cstheme="minorHAnsi"/>
                <w:b/>
                <w:bCs/>
              </w:rPr>
              <w:t>Workforce Partnership Structure</w:t>
            </w:r>
          </w:p>
        </w:tc>
      </w:tr>
      <w:tr w:rsidR="00C17C5E" w:rsidRPr="00C17C5E" w14:paraId="2F8FAD94" w14:textId="77777777" w:rsidTr="0053730E">
        <w:trPr>
          <w:jc w:val="center"/>
        </w:trPr>
        <w:tc>
          <w:tcPr>
            <w:tcW w:w="1575" w:type="dxa"/>
            <w:vAlign w:val="center"/>
          </w:tcPr>
          <w:p w14:paraId="5AC84AB6" w14:textId="77777777" w:rsidR="00C17C5E" w:rsidRPr="00C17C5E" w:rsidRDefault="00C17C5E" w:rsidP="00FC27D9">
            <w:pPr>
              <w:rPr>
                <w:rFonts w:cstheme="minorHAnsi"/>
                <w:b/>
                <w:bCs/>
              </w:rPr>
            </w:pPr>
            <w:r w:rsidRPr="00C17C5E">
              <w:rPr>
                <w:rFonts w:cstheme="minorHAnsi"/>
                <w:b/>
                <w:bCs/>
              </w:rPr>
              <w:t>Financing Structure</w:t>
            </w:r>
          </w:p>
        </w:tc>
        <w:tc>
          <w:tcPr>
            <w:tcW w:w="2879" w:type="dxa"/>
            <w:vAlign w:val="center"/>
          </w:tcPr>
          <w:p w14:paraId="50E70660" w14:textId="77777777" w:rsidR="00C17C5E" w:rsidRPr="00C17C5E" w:rsidRDefault="00C17C5E" w:rsidP="00FC27D9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>HUD/d4/223f</w:t>
            </w:r>
          </w:p>
          <w:p w14:paraId="10AC5ECA" w14:textId="2A3118A4" w:rsidR="00C17C5E" w:rsidRPr="00C17C5E" w:rsidRDefault="00C17C5E" w:rsidP="00FC27D9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>MTEB / Freddie TEL</w:t>
            </w:r>
          </w:p>
          <w:p w14:paraId="3FBD2959" w14:textId="77777777" w:rsidR="00C17C5E" w:rsidRPr="00C17C5E" w:rsidRDefault="00C17C5E" w:rsidP="00FC27D9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>Tax-Exempt Bonds</w:t>
            </w:r>
          </w:p>
        </w:tc>
        <w:tc>
          <w:tcPr>
            <w:tcW w:w="4208" w:type="dxa"/>
            <w:vAlign w:val="center"/>
          </w:tcPr>
          <w:p w14:paraId="56E81D7D" w14:textId="77777777" w:rsidR="00C17C5E" w:rsidRPr="00C17C5E" w:rsidRDefault="00C17C5E" w:rsidP="00FC27D9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>Significant majority debt-financed with tax-exempt bonds</w:t>
            </w:r>
          </w:p>
        </w:tc>
        <w:tc>
          <w:tcPr>
            <w:tcW w:w="3499" w:type="dxa"/>
            <w:vAlign w:val="center"/>
          </w:tcPr>
          <w:p w14:paraId="21C01C4E" w14:textId="77777777" w:rsidR="00C17C5E" w:rsidRPr="00C17C5E" w:rsidRDefault="00C17C5E" w:rsidP="00FC27D9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>100% Debt Financed by Tax-Exempt Bonds</w:t>
            </w:r>
          </w:p>
          <w:p w14:paraId="620A9248" w14:textId="77777777" w:rsidR="00C17C5E" w:rsidRPr="00C17C5E" w:rsidRDefault="00C17C5E" w:rsidP="00FC27D9">
            <w:pPr>
              <w:jc w:val="center"/>
              <w:rPr>
                <w:rFonts w:cstheme="minorHAnsi"/>
              </w:rPr>
            </w:pPr>
          </w:p>
        </w:tc>
        <w:tc>
          <w:tcPr>
            <w:tcW w:w="2880" w:type="dxa"/>
            <w:vAlign w:val="center"/>
          </w:tcPr>
          <w:p w14:paraId="4A9ACBF7" w14:textId="77777777" w:rsidR="00C17C5E" w:rsidRPr="00C17C5E" w:rsidRDefault="00C17C5E" w:rsidP="00FC27D9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>Conventional financing with equity</w:t>
            </w:r>
          </w:p>
        </w:tc>
      </w:tr>
      <w:tr w:rsidR="00C17C5E" w:rsidRPr="00C17C5E" w14:paraId="53505590" w14:textId="77777777" w:rsidTr="0053730E">
        <w:trPr>
          <w:jc w:val="center"/>
        </w:trPr>
        <w:tc>
          <w:tcPr>
            <w:tcW w:w="1575" w:type="dxa"/>
            <w:vAlign w:val="center"/>
          </w:tcPr>
          <w:p w14:paraId="3602E15B" w14:textId="77777777" w:rsidR="00C17C5E" w:rsidRPr="00C17C5E" w:rsidRDefault="00C17C5E" w:rsidP="00FC27D9">
            <w:pPr>
              <w:rPr>
                <w:rFonts w:cstheme="minorHAnsi"/>
                <w:b/>
                <w:bCs/>
              </w:rPr>
            </w:pPr>
            <w:r w:rsidRPr="00C17C5E">
              <w:rPr>
                <w:rFonts w:cstheme="minorHAnsi"/>
                <w:b/>
                <w:bCs/>
              </w:rPr>
              <w:t>LTV</w:t>
            </w:r>
          </w:p>
        </w:tc>
        <w:tc>
          <w:tcPr>
            <w:tcW w:w="2879" w:type="dxa"/>
            <w:vAlign w:val="center"/>
          </w:tcPr>
          <w:p w14:paraId="278C2AB0" w14:textId="77777777" w:rsidR="00C17C5E" w:rsidRPr="00C17C5E" w:rsidRDefault="00C17C5E" w:rsidP="00FC27D9">
            <w:pPr>
              <w:jc w:val="center"/>
              <w:rPr>
                <w:rFonts w:cstheme="minorHAnsi"/>
                <w:b/>
                <w:bCs/>
              </w:rPr>
            </w:pPr>
            <w:r w:rsidRPr="00C17C5E">
              <w:rPr>
                <w:rFonts w:cstheme="minorHAnsi"/>
                <w:b/>
                <w:bCs/>
              </w:rPr>
              <w:t>75%</w:t>
            </w:r>
          </w:p>
        </w:tc>
        <w:tc>
          <w:tcPr>
            <w:tcW w:w="4208" w:type="dxa"/>
            <w:vAlign w:val="center"/>
          </w:tcPr>
          <w:p w14:paraId="474E787B" w14:textId="77777777" w:rsidR="00C17C5E" w:rsidRPr="00C17C5E" w:rsidRDefault="00C17C5E" w:rsidP="00FC27D9">
            <w:pPr>
              <w:jc w:val="center"/>
              <w:rPr>
                <w:rFonts w:cstheme="minorHAnsi"/>
                <w:b/>
                <w:bCs/>
              </w:rPr>
            </w:pPr>
            <w:r w:rsidRPr="00C17C5E">
              <w:rPr>
                <w:rFonts w:cstheme="minorHAnsi"/>
                <w:b/>
                <w:bCs/>
              </w:rPr>
              <w:t>90-95%</w:t>
            </w:r>
          </w:p>
        </w:tc>
        <w:tc>
          <w:tcPr>
            <w:tcW w:w="3499" w:type="dxa"/>
            <w:vAlign w:val="center"/>
          </w:tcPr>
          <w:p w14:paraId="2870D8A8" w14:textId="77777777" w:rsidR="00C17C5E" w:rsidRPr="00C17C5E" w:rsidRDefault="00C17C5E" w:rsidP="00FC27D9">
            <w:pPr>
              <w:jc w:val="center"/>
              <w:rPr>
                <w:rFonts w:cstheme="minorHAnsi"/>
                <w:b/>
                <w:bCs/>
              </w:rPr>
            </w:pPr>
            <w:r w:rsidRPr="00C17C5E">
              <w:rPr>
                <w:rFonts w:cstheme="minorHAnsi"/>
                <w:b/>
                <w:bCs/>
              </w:rPr>
              <w:t>110%+ (no equity)</w:t>
            </w:r>
          </w:p>
        </w:tc>
        <w:tc>
          <w:tcPr>
            <w:tcW w:w="2880" w:type="dxa"/>
            <w:vAlign w:val="center"/>
          </w:tcPr>
          <w:p w14:paraId="0C3473EF" w14:textId="77777777" w:rsidR="00C17C5E" w:rsidRPr="00C17C5E" w:rsidRDefault="00C17C5E" w:rsidP="00FC27D9">
            <w:pPr>
              <w:jc w:val="center"/>
              <w:rPr>
                <w:rFonts w:cstheme="minorHAnsi"/>
                <w:b/>
                <w:bCs/>
              </w:rPr>
            </w:pPr>
            <w:r w:rsidRPr="00C17C5E">
              <w:rPr>
                <w:rFonts w:cstheme="minorHAnsi"/>
                <w:b/>
                <w:bCs/>
              </w:rPr>
              <w:t>70%</w:t>
            </w:r>
          </w:p>
        </w:tc>
      </w:tr>
      <w:tr w:rsidR="00C17C5E" w:rsidRPr="00C17C5E" w14:paraId="64F4C7EC" w14:textId="77777777" w:rsidTr="0053730E">
        <w:trPr>
          <w:jc w:val="center"/>
        </w:trPr>
        <w:tc>
          <w:tcPr>
            <w:tcW w:w="1575" w:type="dxa"/>
            <w:vAlign w:val="center"/>
          </w:tcPr>
          <w:p w14:paraId="4BEF68ED" w14:textId="77777777" w:rsidR="00C17C5E" w:rsidRPr="00C17C5E" w:rsidRDefault="00C17C5E" w:rsidP="00FC27D9">
            <w:pPr>
              <w:rPr>
                <w:rFonts w:cstheme="minorHAnsi"/>
                <w:b/>
                <w:bCs/>
              </w:rPr>
            </w:pPr>
            <w:r w:rsidRPr="00C17C5E">
              <w:rPr>
                <w:rFonts w:cstheme="minorHAnsi"/>
                <w:b/>
                <w:bCs/>
              </w:rPr>
              <w:t>D/S Coverage</w:t>
            </w:r>
          </w:p>
        </w:tc>
        <w:tc>
          <w:tcPr>
            <w:tcW w:w="2879" w:type="dxa"/>
            <w:vAlign w:val="center"/>
          </w:tcPr>
          <w:p w14:paraId="3A99305A" w14:textId="77777777" w:rsidR="00C17C5E" w:rsidRPr="00C17C5E" w:rsidRDefault="00C17C5E" w:rsidP="00FC27D9">
            <w:pPr>
              <w:jc w:val="center"/>
              <w:rPr>
                <w:rFonts w:cstheme="minorHAnsi"/>
                <w:b/>
                <w:bCs/>
              </w:rPr>
            </w:pPr>
            <w:r w:rsidRPr="00C17C5E">
              <w:rPr>
                <w:rFonts w:cstheme="minorHAnsi"/>
                <w:b/>
                <w:bCs/>
              </w:rPr>
              <w:t>1.25%</w:t>
            </w:r>
          </w:p>
        </w:tc>
        <w:tc>
          <w:tcPr>
            <w:tcW w:w="4208" w:type="dxa"/>
            <w:vAlign w:val="center"/>
          </w:tcPr>
          <w:p w14:paraId="21E0C7E3" w14:textId="77777777" w:rsidR="00C17C5E" w:rsidRPr="00C17C5E" w:rsidRDefault="00C17C5E" w:rsidP="00FC27D9">
            <w:pPr>
              <w:jc w:val="center"/>
              <w:rPr>
                <w:rFonts w:cstheme="minorHAnsi"/>
                <w:b/>
                <w:bCs/>
              </w:rPr>
            </w:pPr>
            <w:r w:rsidRPr="00C17C5E">
              <w:rPr>
                <w:rFonts w:cstheme="minorHAnsi"/>
                <w:b/>
                <w:bCs/>
              </w:rPr>
              <w:t>0.90x initial minimum)</w:t>
            </w:r>
          </w:p>
        </w:tc>
        <w:tc>
          <w:tcPr>
            <w:tcW w:w="3499" w:type="dxa"/>
            <w:vAlign w:val="center"/>
          </w:tcPr>
          <w:p w14:paraId="4761051D" w14:textId="77777777" w:rsidR="00C17C5E" w:rsidRPr="00C17C5E" w:rsidRDefault="00C17C5E" w:rsidP="00FC27D9">
            <w:pPr>
              <w:jc w:val="center"/>
              <w:rPr>
                <w:rFonts w:cstheme="minorHAnsi"/>
                <w:b/>
                <w:bCs/>
              </w:rPr>
            </w:pPr>
            <w:r w:rsidRPr="00C17C5E">
              <w:rPr>
                <w:rFonts w:cstheme="minorHAnsi"/>
                <w:b/>
                <w:bCs/>
              </w:rPr>
              <w:t>0.90x initial minimum)</w:t>
            </w:r>
          </w:p>
        </w:tc>
        <w:tc>
          <w:tcPr>
            <w:tcW w:w="2880" w:type="dxa"/>
            <w:vAlign w:val="center"/>
          </w:tcPr>
          <w:p w14:paraId="700E0578" w14:textId="77777777" w:rsidR="00C17C5E" w:rsidRPr="00C17C5E" w:rsidRDefault="00C17C5E" w:rsidP="00FC27D9">
            <w:pPr>
              <w:jc w:val="center"/>
              <w:rPr>
                <w:rFonts w:cstheme="minorHAnsi"/>
                <w:b/>
                <w:bCs/>
              </w:rPr>
            </w:pPr>
            <w:r w:rsidRPr="00C17C5E">
              <w:rPr>
                <w:rFonts w:cstheme="minorHAnsi"/>
                <w:b/>
                <w:bCs/>
              </w:rPr>
              <w:t>1.25%</w:t>
            </w:r>
          </w:p>
        </w:tc>
      </w:tr>
      <w:tr w:rsidR="00C17C5E" w:rsidRPr="00C17C5E" w14:paraId="34A483F2" w14:textId="77777777" w:rsidTr="0053730E">
        <w:trPr>
          <w:jc w:val="center"/>
        </w:trPr>
        <w:tc>
          <w:tcPr>
            <w:tcW w:w="1575" w:type="dxa"/>
            <w:vAlign w:val="center"/>
          </w:tcPr>
          <w:p w14:paraId="1DA6A857" w14:textId="77777777" w:rsidR="00C17C5E" w:rsidRPr="00C17C5E" w:rsidRDefault="00C17C5E" w:rsidP="00FC27D9">
            <w:pPr>
              <w:rPr>
                <w:rFonts w:cstheme="minorHAnsi"/>
                <w:b/>
                <w:bCs/>
              </w:rPr>
            </w:pPr>
            <w:r w:rsidRPr="00C17C5E">
              <w:rPr>
                <w:rFonts w:cstheme="minorHAnsi"/>
                <w:b/>
                <w:bCs/>
              </w:rPr>
              <w:t>Estimated COF</w:t>
            </w:r>
          </w:p>
        </w:tc>
        <w:tc>
          <w:tcPr>
            <w:tcW w:w="2879" w:type="dxa"/>
            <w:vAlign w:val="center"/>
          </w:tcPr>
          <w:p w14:paraId="1D94D1E5" w14:textId="77777777" w:rsidR="00C17C5E" w:rsidRPr="00C17C5E" w:rsidRDefault="00C17C5E" w:rsidP="00FC27D9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>5.00% - 6.75%</w:t>
            </w:r>
          </w:p>
        </w:tc>
        <w:tc>
          <w:tcPr>
            <w:tcW w:w="4208" w:type="dxa"/>
            <w:vAlign w:val="center"/>
          </w:tcPr>
          <w:p w14:paraId="7145122F" w14:textId="77777777" w:rsidR="00C17C5E" w:rsidRPr="00C17C5E" w:rsidRDefault="00C17C5E" w:rsidP="00FC27D9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>7.5%</w:t>
            </w:r>
          </w:p>
        </w:tc>
        <w:tc>
          <w:tcPr>
            <w:tcW w:w="3499" w:type="dxa"/>
            <w:vAlign w:val="center"/>
          </w:tcPr>
          <w:p w14:paraId="01D786AB" w14:textId="77777777" w:rsidR="00C17C5E" w:rsidRPr="00C17C5E" w:rsidRDefault="00C17C5E" w:rsidP="00FC27D9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>7.5%</w:t>
            </w:r>
          </w:p>
        </w:tc>
        <w:tc>
          <w:tcPr>
            <w:tcW w:w="2880" w:type="dxa"/>
            <w:vAlign w:val="center"/>
          </w:tcPr>
          <w:p w14:paraId="44560FAF" w14:textId="77777777" w:rsidR="00C17C5E" w:rsidRPr="00C17C5E" w:rsidRDefault="00C17C5E" w:rsidP="00FC27D9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>Depends on structure</w:t>
            </w:r>
          </w:p>
        </w:tc>
      </w:tr>
      <w:tr w:rsidR="00C17C5E" w:rsidRPr="00C17C5E" w14:paraId="7008C9B5" w14:textId="77777777" w:rsidTr="0053730E">
        <w:trPr>
          <w:trHeight w:val="1205"/>
          <w:jc w:val="center"/>
        </w:trPr>
        <w:tc>
          <w:tcPr>
            <w:tcW w:w="1575" w:type="dxa"/>
            <w:vAlign w:val="center"/>
          </w:tcPr>
          <w:p w14:paraId="26669D74" w14:textId="77777777" w:rsidR="00C17C5E" w:rsidRPr="00C17C5E" w:rsidRDefault="00C17C5E" w:rsidP="00FC27D9">
            <w:pPr>
              <w:rPr>
                <w:rFonts w:cstheme="minorHAnsi"/>
                <w:b/>
                <w:bCs/>
              </w:rPr>
            </w:pPr>
            <w:r w:rsidRPr="00C17C5E">
              <w:rPr>
                <w:rFonts w:cstheme="minorHAnsi"/>
                <w:b/>
                <w:bCs/>
              </w:rPr>
              <w:t>Long term debt</w:t>
            </w:r>
          </w:p>
        </w:tc>
        <w:tc>
          <w:tcPr>
            <w:tcW w:w="2879" w:type="dxa"/>
            <w:vAlign w:val="center"/>
          </w:tcPr>
          <w:p w14:paraId="49B32A01" w14:textId="77777777" w:rsidR="00C17C5E" w:rsidRPr="00C17C5E" w:rsidRDefault="00C17C5E" w:rsidP="00FC27D9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>HUD Loan, Freddie Loan or</w:t>
            </w:r>
          </w:p>
          <w:p w14:paraId="795F5169" w14:textId="77777777" w:rsidR="00C17C5E" w:rsidRPr="00C17C5E" w:rsidRDefault="00C17C5E" w:rsidP="00FC27D9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>Long-term tax-exempt bonds</w:t>
            </w:r>
          </w:p>
          <w:p w14:paraId="58C31C4F" w14:textId="77777777" w:rsidR="00C17C5E" w:rsidRPr="00C17C5E" w:rsidRDefault="00C17C5E" w:rsidP="00FC27D9">
            <w:pPr>
              <w:jc w:val="center"/>
              <w:rPr>
                <w:rFonts w:cstheme="minorHAnsi"/>
              </w:rPr>
            </w:pPr>
          </w:p>
        </w:tc>
        <w:tc>
          <w:tcPr>
            <w:tcW w:w="4208" w:type="dxa"/>
            <w:vAlign w:val="center"/>
          </w:tcPr>
          <w:p w14:paraId="5021E395" w14:textId="3F79689C" w:rsidR="00C17C5E" w:rsidRPr="00C17C5E" w:rsidRDefault="00C17C5E" w:rsidP="00FC27D9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 xml:space="preserve">Either 40-year amortizing structure or all cashflow used to paydown bonds; can accommodate 17- and 18-year balloons depending on LTV </w:t>
            </w:r>
            <w:r>
              <w:rPr>
                <w:rFonts w:cstheme="minorHAnsi"/>
              </w:rPr>
              <w:t>at</w:t>
            </w:r>
            <w:r w:rsidRPr="00C17C5E">
              <w:rPr>
                <w:rFonts w:cstheme="minorHAnsi"/>
              </w:rPr>
              <w:t xml:space="preserve"> balloon date</w:t>
            </w:r>
          </w:p>
        </w:tc>
        <w:tc>
          <w:tcPr>
            <w:tcW w:w="3499" w:type="dxa"/>
            <w:vAlign w:val="center"/>
          </w:tcPr>
          <w:p w14:paraId="3F249FA6" w14:textId="77777777" w:rsidR="00C17C5E" w:rsidRPr="00C17C5E" w:rsidRDefault="00C17C5E" w:rsidP="00FC27D9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>40-year Bonds with all cashflow used to paydown bonds</w:t>
            </w:r>
          </w:p>
        </w:tc>
        <w:tc>
          <w:tcPr>
            <w:tcW w:w="2880" w:type="dxa"/>
            <w:vAlign w:val="center"/>
          </w:tcPr>
          <w:p w14:paraId="7B0D78F2" w14:textId="77777777" w:rsidR="00C17C5E" w:rsidRPr="00C17C5E" w:rsidRDefault="00C17C5E" w:rsidP="00FC27D9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>HUD Loan, Fannie or Freddie Loan or</w:t>
            </w:r>
          </w:p>
          <w:p w14:paraId="6103F632" w14:textId="7D56E6F8" w:rsidR="00C17C5E" w:rsidRPr="00C17C5E" w:rsidRDefault="00C17C5E" w:rsidP="00C17C5E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>Construction Perm conventional financing</w:t>
            </w:r>
          </w:p>
        </w:tc>
      </w:tr>
      <w:tr w:rsidR="00C17C5E" w:rsidRPr="00C17C5E" w14:paraId="0404DE57" w14:textId="77777777" w:rsidTr="0053730E">
        <w:trPr>
          <w:jc w:val="center"/>
        </w:trPr>
        <w:tc>
          <w:tcPr>
            <w:tcW w:w="1575" w:type="dxa"/>
            <w:vAlign w:val="center"/>
          </w:tcPr>
          <w:p w14:paraId="1C2F1406" w14:textId="77777777" w:rsidR="00C17C5E" w:rsidRPr="00C17C5E" w:rsidRDefault="00C17C5E" w:rsidP="00FC27D9">
            <w:pPr>
              <w:rPr>
                <w:rFonts w:cstheme="minorHAnsi"/>
                <w:b/>
                <w:bCs/>
              </w:rPr>
            </w:pPr>
            <w:r w:rsidRPr="00C17C5E">
              <w:rPr>
                <w:rFonts w:cstheme="minorHAnsi"/>
                <w:b/>
                <w:bCs/>
              </w:rPr>
              <w:t>Volume Cap</w:t>
            </w:r>
          </w:p>
        </w:tc>
        <w:tc>
          <w:tcPr>
            <w:tcW w:w="2879" w:type="dxa"/>
            <w:vAlign w:val="center"/>
          </w:tcPr>
          <w:p w14:paraId="551FF9FA" w14:textId="77777777" w:rsidR="00C17C5E" w:rsidRPr="00C17C5E" w:rsidRDefault="00C17C5E" w:rsidP="00FC27D9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>Required</w:t>
            </w:r>
          </w:p>
        </w:tc>
        <w:tc>
          <w:tcPr>
            <w:tcW w:w="4208" w:type="dxa"/>
            <w:vAlign w:val="center"/>
          </w:tcPr>
          <w:p w14:paraId="46C5D6D1" w14:textId="4F223A50" w:rsidR="00C17C5E" w:rsidRPr="00C17C5E" w:rsidRDefault="00C17C5E" w:rsidP="00FC27D9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>None</w:t>
            </w:r>
            <w:r w:rsidRPr="00C17C5E">
              <w:rPr>
                <w:rFonts w:cstheme="minorHAnsi"/>
              </w:rPr>
              <w:br/>
              <w:t xml:space="preserve">(Not-for-Profit </w:t>
            </w:r>
            <w:r w:rsidR="0053730E">
              <w:rPr>
                <w:rFonts w:cstheme="minorHAnsi"/>
              </w:rPr>
              <w:t xml:space="preserve">501(c)(3) </w:t>
            </w:r>
            <w:r w:rsidRPr="00C17C5E">
              <w:rPr>
                <w:rFonts w:cstheme="minorHAnsi"/>
              </w:rPr>
              <w:t>ownership)</w:t>
            </w:r>
          </w:p>
        </w:tc>
        <w:tc>
          <w:tcPr>
            <w:tcW w:w="3499" w:type="dxa"/>
            <w:vAlign w:val="center"/>
          </w:tcPr>
          <w:p w14:paraId="2ECEF874" w14:textId="77777777" w:rsidR="00C17C5E" w:rsidRPr="00C17C5E" w:rsidRDefault="00C17C5E" w:rsidP="00FC27D9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>None</w:t>
            </w:r>
            <w:r w:rsidRPr="00C17C5E">
              <w:rPr>
                <w:rFonts w:cstheme="minorHAnsi"/>
              </w:rPr>
              <w:br/>
              <w:t>(Governmental Ownership)</w:t>
            </w:r>
          </w:p>
        </w:tc>
        <w:tc>
          <w:tcPr>
            <w:tcW w:w="2880" w:type="dxa"/>
            <w:vAlign w:val="center"/>
          </w:tcPr>
          <w:p w14:paraId="551E3C87" w14:textId="77777777" w:rsidR="00C17C5E" w:rsidRPr="00C17C5E" w:rsidRDefault="00C17C5E" w:rsidP="00FC27D9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>None</w:t>
            </w:r>
            <w:r w:rsidRPr="00C17C5E">
              <w:rPr>
                <w:rFonts w:cstheme="minorHAnsi"/>
              </w:rPr>
              <w:br/>
              <w:t>(taxable financing)</w:t>
            </w:r>
          </w:p>
        </w:tc>
      </w:tr>
      <w:tr w:rsidR="00C17C5E" w:rsidRPr="00C17C5E" w14:paraId="1BAD1911" w14:textId="77777777" w:rsidTr="0053730E">
        <w:trPr>
          <w:jc w:val="center"/>
        </w:trPr>
        <w:tc>
          <w:tcPr>
            <w:tcW w:w="1575" w:type="dxa"/>
            <w:vAlign w:val="center"/>
          </w:tcPr>
          <w:p w14:paraId="49D2542C" w14:textId="77777777" w:rsidR="00C17C5E" w:rsidRPr="00C17C5E" w:rsidRDefault="00C17C5E" w:rsidP="00FC27D9">
            <w:pPr>
              <w:rPr>
                <w:rFonts w:cstheme="minorHAnsi"/>
                <w:b/>
                <w:bCs/>
              </w:rPr>
            </w:pPr>
            <w:r w:rsidRPr="00C17C5E">
              <w:rPr>
                <w:rFonts w:cstheme="minorHAnsi"/>
                <w:b/>
                <w:bCs/>
              </w:rPr>
              <w:t>TEFRA</w:t>
            </w:r>
          </w:p>
        </w:tc>
        <w:tc>
          <w:tcPr>
            <w:tcW w:w="2879" w:type="dxa"/>
            <w:vAlign w:val="center"/>
          </w:tcPr>
          <w:p w14:paraId="24F3E80A" w14:textId="2A68487D" w:rsidR="00C17C5E" w:rsidRPr="00C17C5E" w:rsidRDefault="00C17C5E" w:rsidP="00FC27D9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>TEFRA Hearing prior to bond issuance</w:t>
            </w:r>
          </w:p>
        </w:tc>
        <w:tc>
          <w:tcPr>
            <w:tcW w:w="4208" w:type="dxa"/>
            <w:vAlign w:val="center"/>
          </w:tcPr>
          <w:p w14:paraId="3C19891F" w14:textId="7DB19AC7" w:rsidR="00C17C5E" w:rsidRPr="00C17C5E" w:rsidRDefault="00C17C5E" w:rsidP="00FC27D9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>TEFRA Hearing prior to bond issuance</w:t>
            </w:r>
          </w:p>
        </w:tc>
        <w:tc>
          <w:tcPr>
            <w:tcW w:w="3499" w:type="dxa"/>
            <w:vAlign w:val="center"/>
          </w:tcPr>
          <w:p w14:paraId="3AAE3AA9" w14:textId="77777777" w:rsidR="00C17C5E" w:rsidRPr="00C17C5E" w:rsidRDefault="00C17C5E" w:rsidP="00FC27D9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>TEFRA Hearing not required</w:t>
            </w:r>
          </w:p>
        </w:tc>
        <w:tc>
          <w:tcPr>
            <w:tcW w:w="2880" w:type="dxa"/>
            <w:vAlign w:val="center"/>
          </w:tcPr>
          <w:p w14:paraId="490D3B69" w14:textId="77777777" w:rsidR="00C17C5E" w:rsidRPr="00C17C5E" w:rsidRDefault="00C17C5E" w:rsidP="00FC27D9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>TEFRA Hearing not required</w:t>
            </w:r>
          </w:p>
        </w:tc>
      </w:tr>
      <w:tr w:rsidR="00C17C5E" w:rsidRPr="00C17C5E" w14:paraId="0D1E4A81" w14:textId="77777777" w:rsidTr="0053730E">
        <w:trPr>
          <w:jc w:val="center"/>
        </w:trPr>
        <w:tc>
          <w:tcPr>
            <w:tcW w:w="1575" w:type="dxa"/>
            <w:vAlign w:val="center"/>
          </w:tcPr>
          <w:p w14:paraId="5AA7668F" w14:textId="77777777" w:rsidR="00C17C5E" w:rsidRPr="00C17C5E" w:rsidRDefault="00C17C5E" w:rsidP="00FC27D9">
            <w:pPr>
              <w:rPr>
                <w:rFonts w:cstheme="minorHAnsi"/>
                <w:b/>
                <w:bCs/>
              </w:rPr>
            </w:pPr>
            <w:r w:rsidRPr="00C17C5E">
              <w:rPr>
                <w:rFonts w:cstheme="minorHAnsi"/>
                <w:b/>
                <w:bCs/>
              </w:rPr>
              <w:t>Income Restrictions</w:t>
            </w:r>
          </w:p>
        </w:tc>
        <w:tc>
          <w:tcPr>
            <w:tcW w:w="2879" w:type="dxa"/>
            <w:vAlign w:val="center"/>
          </w:tcPr>
          <w:p w14:paraId="63165D6E" w14:textId="77777777" w:rsidR="00C17C5E" w:rsidRPr="00C17C5E" w:rsidRDefault="00C17C5E" w:rsidP="00FC27D9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>20% of units at or below 50% AMI or 40% of the units at or below 60% AMI</w:t>
            </w:r>
          </w:p>
          <w:p w14:paraId="6C0B2ADC" w14:textId="77777777" w:rsidR="00C17C5E" w:rsidRPr="00C17C5E" w:rsidRDefault="00C17C5E" w:rsidP="00FC27D9">
            <w:pPr>
              <w:jc w:val="center"/>
              <w:rPr>
                <w:rFonts w:cstheme="minorHAnsi"/>
              </w:rPr>
            </w:pPr>
          </w:p>
        </w:tc>
        <w:tc>
          <w:tcPr>
            <w:tcW w:w="4208" w:type="dxa"/>
            <w:vAlign w:val="center"/>
          </w:tcPr>
          <w:p w14:paraId="03783B54" w14:textId="77777777" w:rsidR="00C17C5E" w:rsidRPr="00C17C5E" w:rsidRDefault="00C17C5E" w:rsidP="00FC27D9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>Dependent on type of 501c3 but typically 20% of units at or below 50% AMI or 40% of the units at or below 60% AMI (and in aggregate, 75% of units below 80% AMI). Some states may have additional requirements for full tax abatement</w:t>
            </w:r>
          </w:p>
        </w:tc>
        <w:tc>
          <w:tcPr>
            <w:tcW w:w="3499" w:type="dxa"/>
            <w:vAlign w:val="center"/>
          </w:tcPr>
          <w:p w14:paraId="3688AD4E" w14:textId="448A3CD4" w:rsidR="00C17C5E" w:rsidRPr="00C17C5E" w:rsidRDefault="00C17C5E" w:rsidP="00FC27D9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 xml:space="preserve">50% of units </w:t>
            </w:r>
            <w:r w:rsidR="00063285">
              <w:rPr>
                <w:rFonts w:cstheme="minorHAnsi"/>
              </w:rPr>
              <w:t xml:space="preserve">at or </w:t>
            </w:r>
            <w:r w:rsidRPr="00C17C5E">
              <w:rPr>
                <w:rFonts w:cstheme="minorHAnsi"/>
              </w:rPr>
              <w:t xml:space="preserve">below 80% AMI, </w:t>
            </w:r>
            <w:r w:rsidR="0053730E">
              <w:rPr>
                <w:rFonts w:cstheme="minorHAnsi"/>
              </w:rPr>
              <w:t>4</w:t>
            </w:r>
            <w:r w:rsidRPr="00C17C5E">
              <w:rPr>
                <w:rFonts w:cstheme="minorHAnsi"/>
              </w:rPr>
              <w:t>0% of units typically at or below 120% - 140% AMI</w:t>
            </w:r>
          </w:p>
          <w:p w14:paraId="346D4E1F" w14:textId="77777777" w:rsidR="00C17C5E" w:rsidRPr="00C17C5E" w:rsidRDefault="00C17C5E" w:rsidP="00FC27D9">
            <w:pPr>
              <w:jc w:val="center"/>
              <w:rPr>
                <w:rFonts w:cstheme="minorHAnsi"/>
              </w:rPr>
            </w:pPr>
          </w:p>
        </w:tc>
        <w:tc>
          <w:tcPr>
            <w:tcW w:w="2880" w:type="dxa"/>
            <w:vAlign w:val="center"/>
          </w:tcPr>
          <w:p w14:paraId="605ACB5C" w14:textId="60B41549" w:rsidR="00C17C5E" w:rsidRPr="00C17C5E" w:rsidRDefault="00C17C5E" w:rsidP="00FC27D9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 xml:space="preserve">50% of units </w:t>
            </w:r>
            <w:r w:rsidR="00063285">
              <w:rPr>
                <w:rFonts w:cstheme="minorHAnsi"/>
              </w:rPr>
              <w:t xml:space="preserve">at or </w:t>
            </w:r>
            <w:r w:rsidRPr="00C17C5E">
              <w:rPr>
                <w:rFonts w:cstheme="minorHAnsi"/>
              </w:rPr>
              <w:t>below 80% AMI, 50% of units typically at or below 120% - 140% AMI</w:t>
            </w:r>
          </w:p>
          <w:p w14:paraId="163868EF" w14:textId="77777777" w:rsidR="00C17C5E" w:rsidRPr="00C17C5E" w:rsidRDefault="00C17C5E" w:rsidP="00FC27D9">
            <w:pPr>
              <w:jc w:val="center"/>
              <w:rPr>
                <w:rFonts w:cstheme="minorHAnsi"/>
              </w:rPr>
            </w:pPr>
          </w:p>
        </w:tc>
      </w:tr>
      <w:tr w:rsidR="00C17C5E" w:rsidRPr="00C17C5E" w14:paraId="634BFA3B" w14:textId="77777777" w:rsidTr="0053730E">
        <w:trPr>
          <w:trHeight w:val="1224"/>
          <w:jc w:val="center"/>
        </w:trPr>
        <w:tc>
          <w:tcPr>
            <w:tcW w:w="1575" w:type="dxa"/>
            <w:vAlign w:val="center"/>
          </w:tcPr>
          <w:p w14:paraId="5E1CFABF" w14:textId="77777777" w:rsidR="00C17C5E" w:rsidRPr="00C17C5E" w:rsidRDefault="00C17C5E" w:rsidP="00FC27D9">
            <w:pPr>
              <w:rPr>
                <w:rFonts w:cstheme="minorHAnsi"/>
                <w:b/>
                <w:bCs/>
              </w:rPr>
            </w:pPr>
            <w:r w:rsidRPr="00C17C5E">
              <w:rPr>
                <w:rFonts w:cstheme="minorHAnsi"/>
                <w:b/>
                <w:bCs/>
              </w:rPr>
              <w:t>Rent Restrictions</w:t>
            </w:r>
          </w:p>
        </w:tc>
        <w:tc>
          <w:tcPr>
            <w:tcW w:w="2879" w:type="dxa"/>
            <w:vAlign w:val="center"/>
          </w:tcPr>
          <w:p w14:paraId="18CC60F5" w14:textId="77777777" w:rsidR="00C17C5E" w:rsidRPr="00C17C5E" w:rsidRDefault="00C17C5E" w:rsidP="00FC27D9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>Rents are restricted to 30% of AMI level when utilizing LIHTC</w:t>
            </w:r>
          </w:p>
          <w:p w14:paraId="73B05C3C" w14:textId="77777777" w:rsidR="00C17C5E" w:rsidRPr="00C17C5E" w:rsidRDefault="00C17C5E" w:rsidP="00FC27D9">
            <w:pPr>
              <w:jc w:val="center"/>
              <w:rPr>
                <w:rFonts w:cstheme="minorHAnsi"/>
              </w:rPr>
            </w:pPr>
          </w:p>
        </w:tc>
        <w:tc>
          <w:tcPr>
            <w:tcW w:w="4208" w:type="dxa"/>
            <w:vAlign w:val="center"/>
          </w:tcPr>
          <w:p w14:paraId="4FCF63B4" w14:textId="77777777" w:rsidR="00C17C5E" w:rsidRPr="00C17C5E" w:rsidRDefault="00C17C5E" w:rsidP="00FC27D9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>No rent-to-income restrictions per se unless required by Regulatory Agreement but generally tend to be 30% to 33% for tax opinion. May vary by state</w:t>
            </w:r>
          </w:p>
        </w:tc>
        <w:tc>
          <w:tcPr>
            <w:tcW w:w="3499" w:type="dxa"/>
            <w:vAlign w:val="center"/>
          </w:tcPr>
          <w:p w14:paraId="07D8E7EF" w14:textId="2FAEF5A0" w:rsidR="00C17C5E" w:rsidRPr="00C17C5E" w:rsidRDefault="00C17C5E" w:rsidP="00C17C5E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>No Rent Restrictions required as long as projected revenues meet projected debt service, but typically 30% of AMI</w:t>
            </w:r>
          </w:p>
        </w:tc>
        <w:tc>
          <w:tcPr>
            <w:tcW w:w="2880" w:type="dxa"/>
            <w:vAlign w:val="center"/>
          </w:tcPr>
          <w:p w14:paraId="52D57DE7" w14:textId="6611C381" w:rsidR="00C17C5E" w:rsidRPr="00C17C5E" w:rsidRDefault="00C17C5E" w:rsidP="00C17C5E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>No Rent Restrictions required as long as projected revenues meet projected debt service, but typically 30% of AMI</w:t>
            </w:r>
          </w:p>
        </w:tc>
      </w:tr>
      <w:tr w:rsidR="00C17C5E" w:rsidRPr="00C17C5E" w14:paraId="5C7F1FE8" w14:textId="77777777" w:rsidTr="0053730E">
        <w:trPr>
          <w:jc w:val="center"/>
        </w:trPr>
        <w:tc>
          <w:tcPr>
            <w:tcW w:w="1575" w:type="dxa"/>
            <w:vAlign w:val="center"/>
          </w:tcPr>
          <w:p w14:paraId="74CB982D" w14:textId="77777777" w:rsidR="00C17C5E" w:rsidRPr="00C17C5E" w:rsidRDefault="00C17C5E" w:rsidP="00FC27D9">
            <w:pPr>
              <w:rPr>
                <w:rFonts w:cstheme="minorHAnsi"/>
                <w:b/>
                <w:bCs/>
              </w:rPr>
            </w:pPr>
            <w:r w:rsidRPr="00C17C5E">
              <w:rPr>
                <w:rFonts w:cstheme="minorHAnsi"/>
                <w:b/>
                <w:bCs/>
              </w:rPr>
              <w:t>Timing</w:t>
            </w:r>
          </w:p>
        </w:tc>
        <w:tc>
          <w:tcPr>
            <w:tcW w:w="2879" w:type="dxa"/>
            <w:vAlign w:val="center"/>
          </w:tcPr>
          <w:p w14:paraId="4199E205" w14:textId="696BC5C7" w:rsidR="00C17C5E" w:rsidRPr="00C17C5E" w:rsidRDefault="00C17C5E" w:rsidP="00FC27D9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 xml:space="preserve">Close within 180 days of receipt of cap allocation, though cap restrictions can cause </w:t>
            </w:r>
            <w:proofErr w:type="gramStart"/>
            <w:r w:rsidRPr="00C17C5E">
              <w:rPr>
                <w:rFonts w:cstheme="minorHAnsi"/>
              </w:rPr>
              <w:t>10-12 month</w:t>
            </w:r>
            <w:proofErr w:type="gramEnd"/>
            <w:r w:rsidRPr="00C17C5E">
              <w:rPr>
                <w:rFonts w:cstheme="minorHAnsi"/>
              </w:rPr>
              <w:t xml:space="preserve"> delay receiving cap</w:t>
            </w:r>
          </w:p>
        </w:tc>
        <w:tc>
          <w:tcPr>
            <w:tcW w:w="4208" w:type="dxa"/>
            <w:vAlign w:val="center"/>
          </w:tcPr>
          <w:p w14:paraId="4780B468" w14:textId="77777777" w:rsidR="00C17C5E" w:rsidRPr="00C17C5E" w:rsidRDefault="00C17C5E" w:rsidP="00FC27D9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>Typically, close within 30-60 days after third party reports and initial Board approval with experienced Issuer</w:t>
            </w:r>
          </w:p>
        </w:tc>
        <w:tc>
          <w:tcPr>
            <w:tcW w:w="3499" w:type="dxa"/>
            <w:vAlign w:val="center"/>
          </w:tcPr>
          <w:p w14:paraId="2F95C469" w14:textId="77777777" w:rsidR="00C17C5E" w:rsidRPr="00C17C5E" w:rsidRDefault="00C17C5E" w:rsidP="00FC27D9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>Typically, close within 30-60 days after third party reports and initial Board approval with experienced Issuer</w:t>
            </w:r>
          </w:p>
        </w:tc>
        <w:tc>
          <w:tcPr>
            <w:tcW w:w="2880" w:type="dxa"/>
            <w:vAlign w:val="center"/>
          </w:tcPr>
          <w:p w14:paraId="1F9CC6B0" w14:textId="77777777" w:rsidR="00C17C5E" w:rsidRPr="00C17C5E" w:rsidRDefault="00C17C5E" w:rsidP="00FC27D9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>Typically, close within 30-60 days after third party reports and initial Board approval with experienced Issuer</w:t>
            </w:r>
          </w:p>
        </w:tc>
      </w:tr>
      <w:tr w:rsidR="00C17C5E" w:rsidRPr="00C17C5E" w14:paraId="476FCA76" w14:textId="77777777" w:rsidTr="0053730E">
        <w:trPr>
          <w:jc w:val="center"/>
        </w:trPr>
        <w:tc>
          <w:tcPr>
            <w:tcW w:w="1575" w:type="dxa"/>
            <w:vAlign w:val="center"/>
          </w:tcPr>
          <w:p w14:paraId="13F7FC8C" w14:textId="77777777" w:rsidR="00C17C5E" w:rsidRPr="00C17C5E" w:rsidRDefault="00C17C5E" w:rsidP="00FC27D9">
            <w:pPr>
              <w:rPr>
                <w:rFonts w:cstheme="minorHAnsi"/>
                <w:b/>
                <w:bCs/>
              </w:rPr>
            </w:pPr>
            <w:r w:rsidRPr="00C17C5E">
              <w:rPr>
                <w:rFonts w:cstheme="minorHAnsi"/>
                <w:b/>
                <w:bCs/>
              </w:rPr>
              <w:t>Ownership Structure</w:t>
            </w:r>
          </w:p>
        </w:tc>
        <w:tc>
          <w:tcPr>
            <w:tcW w:w="2879" w:type="dxa"/>
            <w:vAlign w:val="center"/>
          </w:tcPr>
          <w:p w14:paraId="2BA0449A" w14:textId="1F7C2D09" w:rsidR="00C17C5E" w:rsidRPr="00C17C5E" w:rsidRDefault="00C17C5E" w:rsidP="00FC27D9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>Small % of ownership through GP entity</w:t>
            </w:r>
          </w:p>
        </w:tc>
        <w:tc>
          <w:tcPr>
            <w:tcW w:w="4208" w:type="dxa"/>
            <w:vAlign w:val="center"/>
          </w:tcPr>
          <w:p w14:paraId="3E749532" w14:textId="2E8F0D3C" w:rsidR="00C17C5E" w:rsidRPr="00C17C5E" w:rsidRDefault="00C17C5E" w:rsidP="00FC27D9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 xml:space="preserve">Not-for-Profit </w:t>
            </w:r>
            <w:r w:rsidR="0053730E">
              <w:rPr>
                <w:rFonts w:cstheme="minorHAnsi"/>
              </w:rPr>
              <w:t xml:space="preserve">or wholly owned LLC </w:t>
            </w:r>
            <w:r w:rsidRPr="00C17C5E">
              <w:rPr>
                <w:rFonts w:cstheme="minorHAnsi"/>
              </w:rPr>
              <w:t>is 100% owner/borrower</w:t>
            </w:r>
          </w:p>
        </w:tc>
        <w:tc>
          <w:tcPr>
            <w:tcW w:w="3499" w:type="dxa"/>
            <w:vAlign w:val="center"/>
          </w:tcPr>
          <w:p w14:paraId="198C836C" w14:textId="10C55653" w:rsidR="00C17C5E" w:rsidRPr="00C17C5E" w:rsidRDefault="00C17C5E" w:rsidP="00FC27D9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 xml:space="preserve">Governmental entity </w:t>
            </w:r>
            <w:r w:rsidR="0053730E">
              <w:rPr>
                <w:rFonts w:cstheme="minorHAnsi"/>
              </w:rPr>
              <w:t xml:space="preserve">or wholly owned LLC </w:t>
            </w:r>
            <w:r w:rsidRPr="00C17C5E">
              <w:rPr>
                <w:rFonts w:cstheme="minorHAnsi"/>
              </w:rPr>
              <w:t>is 100% owner/borrower</w:t>
            </w:r>
          </w:p>
        </w:tc>
        <w:tc>
          <w:tcPr>
            <w:tcW w:w="2880" w:type="dxa"/>
            <w:vAlign w:val="center"/>
          </w:tcPr>
          <w:p w14:paraId="3E9A7B0F" w14:textId="77777777" w:rsidR="00C17C5E" w:rsidRPr="00C17C5E" w:rsidRDefault="00C17C5E" w:rsidP="00FC27D9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>Governmental entity is 100% of GP of Borrower</w:t>
            </w:r>
          </w:p>
        </w:tc>
      </w:tr>
      <w:tr w:rsidR="00C17C5E" w:rsidRPr="00C17C5E" w14:paraId="70457BF3" w14:textId="77777777" w:rsidTr="0053730E">
        <w:trPr>
          <w:jc w:val="center"/>
        </w:trPr>
        <w:tc>
          <w:tcPr>
            <w:tcW w:w="1575" w:type="dxa"/>
            <w:vAlign w:val="center"/>
          </w:tcPr>
          <w:p w14:paraId="26B6ECCE" w14:textId="77777777" w:rsidR="00C17C5E" w:rsidRPr="00C17C5E" w:rsidRDefault="00C17C5E" w:rsidP="00FC27D9">
            <w:pPr>
              <w:rPr>
                <w:rFonts w:cstheme="minorHAnsi"/>
                <w:b/>
                <w:bCs/>
              </w:rPr>
            </w:pPr>
            <w:r w:rsidRPr="00C17C5E">
              <w:rPr>
                <w:rFonts w:cstheme="minorHAnsi"/>
                <w:b/>
                <w:bCs/>
              </w:rPr>
              <w:t>Reserves</w:t>
            </w:r>
          </w:p>
        </w:tc>
        <w:tc>
          <w:tcPr>
            <w:tcW w:w="2879" w:type="dxa"/>
            <w:vAlign w:val="center"/>
          </w:tcPr>
          <w:p w14:paraId="52A76FCE" w14:textId="77777777" w:rsidR="00C17C5E" w:rsidRPr="00C17C5E" w:rsidRDefault="00C17C5E" w:rsidP="00FC27D9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>None unless long term bond financed then 80% MADS</w:t>
            </w:r>
          </w:p>
        </w:tc>
        <w:tc>
          <w:tcPr>
            <w:tcW w:w="4208" w:type="dxa"/>
            <w:vAlign w:val="center"/>
          </w:tcPr>
          <w:p w14:paraId="7C790AEC" w14:textId="77777777" w:rsidR="00C17C5E" w:rsidRPr="00C17C5E" w:rsidRDefault="00C17C5E" w:rsidP="00FC27D9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>Depends on amortizing/non-amortizing structure</w:t>
            </w:r>
          </w:p>
        </w:tc>
        <w:tc>
          <w:tcPr>
            <w:tcW w:w="3499" w:type="dxa"/>
            <w:vAlign w:val="center"/>
          </w:tcPr>
          <w:p w14:paraId="4AA4FED0" w14:textId="77777777" w:rsidR="00C17C5E" w:rsidRPr="00C17C5E" w:rsidRDefault="00C17C5E" w:rsidP="00FC27D9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>80% MADS</w:t>
            </w:r>
          </w:p>
        </w:tc>
        <w:tc>
          <w:tcPr>
            <w:tcW w:w="2880" w:type="dxa"/>
            <w:vAlign w:val="center"/>
          </w:tcPr>
          <w:p w14:paraId="36D04DCD" w14:textId="77777777" w:rsidR="00C17C5E" w:rsidRPr="00C17C5E" w:rsidRDefault="00C17C5E" w:rsidP="00FC27D9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>Lender determined</w:t>
            </w:r>
          </w:p>
        </w:tc>
      </w:tr>
      <w:tr w:rsidR="00C17C5E" w:rsidRPr="00C17C5E" w14:paraId="2A80D462" w14:textId="77777777" w:rsidTr="0053730E">
        <w:trPr>
          <w:jc w:val="center"/>
        </w:trPr>
        <w:tc>
          <w:tcPr>
            <w:tcW w:w="1575" w:type="dxa"/>
            <w:vAlign w:val="center"/>
          </w:tcPr>
          <w:p w14:paraId="34B1083F" w14:textId="77777777" w:rsidR="00C17C5E" w:rsidRPr="00C17C5E" w:rsidRDefault="00C17C5E" w:rsidP="00FC27D9">
            <w:pPr>
              <w:rPr>
                <w:rFonts w:cstheme="minorHAnsi"/>
                <w:b/>
                <w:bCs/>
              </w:rPr>
            </w:pPr>
            <w:r w:rsidRPr="00C17C5E">
              <w:rPr>
                <w:rFonts w:cstheme="minorHAnsi"/>
                <w:b/>
                <w:bCs/>
              </w:rPr>
              <w:t>Excess cashflow</w:t>
            </w:r>
          </w:p>
        </w:tc>
        <w:tc>
          <w:tcPr>
            <w:tcW w:w="2879" w:type="dxa"/>
            <w:vAlign w:val="center"/>
          </w:tcPr>
          <w:p w14:paraId="0696332E" w14:textId="77777777" w:rsidR="00C17C5E" w:rsidRPr="00C17C5E" w:rsidRDefault="00C17C5E" w:rsidP="00FC27D9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>All excess after principal and interest payments goes to Borrower</w:t>
            </w:r>
          </w:p>
        </w:tc>
        <w:tc>
          <w:tcPr>
            <w:tcW w:w="4208" w:type="dxa"/>
            <w:vAlign w:val="center"/>
          </w:tcPr>
          <w:p w14:paraId="4B361A77" w14:textId="6BEA32C3" w:rsidR="00C17C5E" w:rsidRPr="00C17C5E" w:rsidRDefault="00C17C5E" w:rsidP="00FC27D9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>Depends on level of contribution and cashflow sufficiency to pay off the investor-held debt; maybe none until debt is paid off</w:t>
            </w:r>
          </w:p>
        </w:tc>
        <w:tc>
          <w:tcPr>
            <w:tcW w:w="3499" w:type="dxa"/>
            <w:vAlign w:val="center"/>
          </w:tcPr>
          <w:p w14:paraId="75A22E41" w14:textId="0B703D3E" w:rsidR="00C17C5E" w:rsidRPr="00C17C5E" w:rsidRDefault="0053730E" w:rsidP="00FC27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 current market, n</w:t>
            </w:r>
            <w:r w:rsidR="00C17C5E" w:rsidRPr="00C17C5E">
              <w:rPr>
                <w:rFonts w:cstheme="minorHAnsi"/>
              </w:rPr>
              <w:t>one until debt is paid off</w:t>
            </w:r>
          </w:p>
        </w:tc>
        <w:tc>
          <w:tcPr>
            <w:tcW w:w="2880" w:type="dxa"/>
            <w:vAlign w:val="center"/>
          </w:tcPr>
          <w:p w14:paraId="3B619AEA" w14:textId="24F19BEF" w:rsidR="00C17C5E" w:rsidRPr="00C17C5E" w:rsidRDefault="00C17C5E" w:rsidP="0053730E">
            <w:pPr>
              <w:jc w:val="center"/>
              <w:rPr>
                <w:rFonts w:cstheme="minorHAnsi"/>
              </w:rPr>
            </w:pPr>
            <w:r w:rsidRPr="00C17C5E">
              <w:rPr>
                <w:rFonts w:cstheme="minorHAnsi"/>
              </w:rPr>
              <w:t>HFC gets upfront fee and</w:t>
            </w:r>
            <w:r w:rsidR="0053730E">
              <w:rPr>
                <w:rFonts w:cstheme="minorHAnsi"/>
              </w:rPr>
              <w:t xml:space="preserve"> </w:t>
            </w:r>
            <w:r w:rsidRPr="00C17C5E">
              <w:rPr>
                <w:rFonts w:cstheme="minorHAnsi"/>
              </w:rPr>
              <w:t>Ground lease payment and residuals at the end</w:t>
            </w:r>
          </w:p>
        </w:tc>
      </w:tr>
    </w:tbl>
    <w:p w14:paraId="6EBC490B" w14:textId="77777777" w:rsidR="00C17C5E" w:rsidRDefault="00C17C5E"/>
    <w:sectPr w:rsidR="00C17C5E" w:rsidSect="00C17C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9544" w14:textId="77777777" w:rsidR="009C1407" w:rsidRDefault="009C1407" w:rsidP="00327AB5">
      <w:pPr>
        <w:spacing w:after="0" w:line="240" w:lineRule="auto"/>
      </w:pPr>
      <w:r>
        <w:separator/>
      </w:r>
    </w:p>
  </w:endnote>
  <w:endnote w:type="continuationSeparator" w:id="0">
    <w:p w14:paraId="43508C9D" w14:textId="77777777" w:rsidR="009C1407" w:rsidRDefault="009C1407" w:rsidP="0032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A59F5" w14:textId="77777777" w:rsidR="009C1407" w:rsidRDefault="009C1407" w:rsidP="00327AB5">
      <w:pPr>
        <w:spacing w:after="0" w:line="240" w:lineRule="auto"/>
      </w:pPr>
      <w:r>
        <w:separator/>
      </w:r>
    </w:p>
  </w:footnote>
  <w:footnote w:type="continuationSeparator" w:id="0">
    <w:p w14:paraId="7466621E" w14:textId="77777777" w:rsidR="009C1407" w:rsidRDefault="009C1407" w:rsidP="00327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CB9"/>
    <w:rsid w:val="00063285"/>
    <w:rsid w:val="000D0FB6"/>
    <w:rsid w:val="001E075B"/>
    <w:rsid w:val="001E5857"/>
    <w:rsid w:val="001F04A5"/>
    <w:rsid w:val="002700C6"/>
    <w:rsid w:val="00327AB5"/>
    <w:rsid w:val="0033751F"/>
    <w:rsid w:val="003432E2"/>
    <w:rsid w:val="004C6A68"/>
    <w:rsid w:val="0053730E"/>
    <w:rsid w:val="009C1407"/>
    <w:rsid w:val="00B15D16"/>
    <w:rsid w:val="00C17C5E"/>
    <w:rsid w:val="00C41CB9"/>
    <w:rsid w:val="00D82170"/>
    <w:rsid w:val="00FB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D71DB"/>
  <w15:docId w15:val="{A999609E-C280-42CA-ABE2-FB27CA2E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2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Foggio</dc:creator>
  <cp:keywords/>
  <dc:description/>
  <cp:lastModifiedBy>Todd Kercheval</cp:lastModifiedBy>
  <cp:revision>2</cp:revision>
  <dcterms:created xsi:type="dcterms:W3CDTF">2023-10-19T16:14:00Z</dcterms:created>
  <dcterms:modified xsi:type="dcterms:W3CDTF">2023-10-19T16:14:00Z</dcterms:modified>
</cp:coreProperties>
</file>